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3" w:rsidRPr="00D10B94" w:rsidRDefault="00535D13" w:rsidP="00E56C08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 w:rsidRPr="00D10B94">
        <w:rPr>
          <w:rStyle w:val="a4"/>
          <w:rFonts w:ascii="PT Astra Serif" w:hAnsi="PT Astra Serif" w:cs="Arial"/>
          <w:b w:val="0"/>
          <w:color w:val="262626"/>
        </w:rPr>
        <w:t>Приложение</w:t>
      </w:r>
      <w:r w:rsidR="00D10B94" w:rsidRPr="00D10B94">
        <w:rPr>
          <w:rStyle w:val="a4"/>
          <w:rFonts w:ascii="PT Astra Serif" w:hAnsi="PT Astra Serif" w:cs="Arial"/>
          <w:b w:val="0"/>
          <w:color w:val="262626"/>
        </w:rPr>
        <w:t xml:space="preserve"> № </w:t>
      </w:r>
      <w:r w:rsidR="00F454A8">
        <w:rPr>
          <w:rStyle w:val="a4"/>
          <w:rFonts w:ascii="PT Astra Serif" w:hAnsi="PT Astra Serif" w:cs="Arial"/>
          <w:b w:val="0"/>
          <w:color w:val="262626"/>
        </w:rPr>
        <w:t>2</w:t>
      </w:r>
    </w:p>
    <w:p w:rsidR="00430BC7" w:rsidRPr="00430BC7" w:rsidRDefault="00430BC7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430BC7" w:rsidRPr="00430BC7" w:rsidRDefault="00430BC7" w:rsidP="007B5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7B57C6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Заводском сельском поселении </w:t>
      </w:r>
      <w:r w:rsidR="00F62F04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</w:t>
      </w:r>
      <w:r w:rsidR="00E30AC1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4</w:t>
      </w:r>
      <w:r w:rsidR="006D0BE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:rsidR="007B57C6" w:rsidRPr="007B57C6" w:rsidRDefault="00F32D1E" w:rsidP="007B57C6">
      <w:pPr>
        <w:pStyle w:val="af3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57C6">
        <w:rPr>
          <w:rFonts w:ascii="Times New Roman" w:hAnsi="Times New Roman"/>
          <w:sz w:val="24"/>
          <w:szCs w:val="24"/>
        </w:rPr>
        <w:t xml:space="preserve">1. </w:t>
      </w:r>
      <w:r w:rsidR="007B57C6" w:rsidRPr="007B57C6">
        <w:rPr>
          <w:rFonts w:ascii="Times New Roman" w:hAnsi="Times New Roman"/>
          <w:sz w:val="24"/>
          <w:szCs w:val="24"/>
        </w:rPr>
        <w:t>Администрация Заводского сельского поселения (далее – Администрация) осуществляет деятельность по организации системы внутреннего обеспечения соответствия требованиям антимонопольного законодательства, на основании следующих нормативных правовых актов:</w:t>
      </w:r>
    </w:p>
    <w:p w:rsidR="007B57C6" w:rsidRDefault="007B57C6" w:rsidP="007B57C6">
      <w:pPr>
        <w:shd w:val="clear" w:color="auto" w:fill="FFFFFF"/>
        <w:spacing w:before="13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7C6">
        <w:rPr>
          <w:rFonts w:ascii="Times New Roman" w:hAnsi="Times New Roman"/>
          <w:sz w:val="24"/>
          <w:szCs w:val="24"/>
        </w:rPr>
        <w:t xml:space="preserve">- </w:t>
      </w:r>
      <w:r w:rsidRPr="007B57C6">
        <w:rPr>
          <w:rFonts w:ascii="Times New Roman" w:eastAsia="Calibri" w:hAnsi="Times New Roman" w:cs="Times New Roman"/>
          <w:sz w:val="24"/>
          <w:szCs w:val="24"/>
        </w:rPr>
        <w:t>распоряжение Администрации Парабельского района от 11.04.2019 № 85а «Об организации системы внутреннего обеспечения соответствия требованиям антимонопольного законодательства» (далее – распоряжение Администрации Парабельского района № 85а)</w:t>
      </w:r>
    </w:p>
    <w:p w:rsidR="007B57C6" w:rsidRPr="007B57C6" w:rsidRDefault="007B57C6" w:rsidP="007B57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B57C6">
        <w:rPr>
          <w:rFonts w:ascii="Times New Roman" w:eastAsia="Calibri" w:hAnsi="Times New Roman" w:cs="Times New Roman"/>
          <w:sz w:val="24"/>
          <w:szCs w:val="24"/>
        </w:rPr>
        <w:t xml:space="preserve">полномоченным специалистом, ответственным за функционирование </w:t>
      </w:r>
      <w:proofErr w:type="gramStart"/>
      <w:r w:rsidRPr="007B57C6">
        <w:rPr>
          <w:rFonts w:ascii="Times New Roman" w:eastAsia="Calibri" w:hAnsi="Times New Roman" w:cs="Times New Roman"/>
          <w:sz w:val="24"/>
          <w:szCs w:val="24"/>
        </w:rPr>
        <w:t>антимонопольного</w:t>
      </w:r>
      <w:proofErr w:type="gramEnd"/>
      <w:r w:rsidRPr="007B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57C6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7B57C6">
        <w:rPr>
          <w:rFonts w:ascii="Times New Roman" w:eastAsia="Calibri" w:hAnsi="Times New Roman" w:cs="Times New Roman"/>
          <w:sz w:val="24"/>
          <w:szCs w:val="24"/>
        </w:rPr>
        <w:t xml:space="preserve">, определен </w:t>
      </w:r>
      <w:r>
        <w:rPr>
          <w:rFonts w:ascii="Times New Roman" w:hAnsi="Times New Roman"/>
          <w:sz w:val="24"/>
          <w:szCs w:val="24"/>
        </w:rPr>
        <w:t>специалист 1 категории Администрации</w:t>
      </w:r>
      <w:r w:rsidRPr="007B57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0BC7" w:rsidRPr="007B57C6" w:rsidRDefault="00430BC7" w:rsidP="00E56C0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B57C6">
        <w:rPr>
          <w:rFonts w:ascii="PT Astra Serif" w:hAnsi="PT Astra Serif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 w:rsidRPr="007B57C6">
        <w:rPr>
          <w:rFonts w:ascii="PT Astra Serif" w:hAnsi="PT Astra Serif"/>
          <w:sz w:val="24"/>
          <w:szCs w:val="24"/>
        </w:rPr>
        <w:t>антимонопольного</w:t>
      </w:r>
      <w:proofErr w:type="gramEnd"/>
      <w:r w:rsidRPr="007B57C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B57C6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7B57C6">
        <w:rPr>
          <w:rFonts w:ascii="PT Astra Serif" w:hAnsi="PT Astra Serif"/>
          <w:sz w:val="24"/>
          <w:szCs w:val="24"/>
        </w:rPr>
        <w:t>:</w:t>
      </w:r>
    </w:p>
    <w:p w:rsidR="007B57C6" w:rsidRPr="00210B7D" w:rsidRDefault="00430BC7" w:rsidP="007B57C6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7C6">
        <w:rPr>
          <w:rFonts w:ascii="PT Astra Serif" w:hAnsi="PT Astra Serif"/>
          <w:sz w:val="24"/>
          <w:szCs w:val="24"/>
        </w:rPr>
        <w:t>2.1.</w:t>
      </w:r>
      <w:r w:rsidR="00232640">
        <w:rPr>
          <w:rFonts w:ascii="PT Astra Serif" w:hAnsi="PT Astra Serif"/>
          <w:sz w:val="28"/>
          <w:szCs w:val="28"/>
        </w:rPr>
        <w:t xml:space="preserve"> </w:t>
      </w:r>
      <w:r w:rsidR="007B57C6">
        <w:rPr>
          <w:rFonts w:ascii="Times New Roman" w:hAnsi="Times New Roman"/>
          <w:sz w:val="24"/>
          <w:szCs w:val="24"/>
        </w:rPr>
        <w:t xml:space="preserve">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</w:t>
      </w:r>
      <w:r w:rsidR="007B57C6" w:rsidRPr="00210B7D">
        <w:rPr>
          <w:rFonts w:ascii="Times New Roman" w:hAnsi="Times New Roman"/>
          <w:sz w:val="24"/>
          <w:szCs w:val="24"/>
        </w:rPr>
        <w:t>за отчетный 202</w:t>
      </w:r>
      <w:r w:rsidR="007B57C6">
        <w:rPr>
          <w:rFonts w:ascii="Times New Roman" w:hAnsi="Times New Roman"/>
          <w:sz w:val="24"/>
          <w:szCs w:val="24"/>
        </w:rPr>
        <w:t>3</w:t>
      </w:r>
      <w:r w:rsidR="007B57C6" w:rsidRPr="00210B7D">
        <w:rPr>
          <w:rFonts w:ascii="Times New Roman" w:hAnsi="Times New Roman"/>
          <w:sz w:val="24"/>
          <w:szCs w:val="24"/>
        </w:rPr>
        <w:t xml:space="preserve"> год.</w:t>
      </w:r>
    </w:p>
    <w:p w:rsidR="007B57C6" w:rsidRPr="005A431B" w:rsidRDefault="007B57C6" w:rsidP="007B57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31B">
        <w:rPr>
          <w:rFonts w:ascii="Times New Roman" w:eastAsia="Calibri" w:hAnsi="Times New Roman" w:cs="Times New Roman"/>
          <w:sz w:val="24"/>
          <w:szCs w:val="24"/>
        </w:rPr>
        <w:t>За 202</w:t>
      </w:r>
      <w:r w:rsidR="00E30AC1">
        <w:rPr>
          <w:rFonts w:ascii="Times New Roman" w:eastAsia="Calibri" w:hAnsi="Times New Roman" w:cs="Times New Roman"/>
          <w:sz w:val="24"/>
          <w:szCs w:val="24"/>
        </w:rPr>
        <w:t>4</w:t>
      </w:r>
      <w:r w:rsidRPr="005A431B">
        <w:rPr>
          <w:rFonts w:ascii="Times New Roman" w:eastAsia="Calibri" w:hAnsi="Times New Roman" w:cs="Times New Roman"/>
          <w:sz w:val="24"/>
          <w:szCs w:val="24"/>
        </w:rPr>
        <w:t xml:space="preserve"> год в деятельности Администрации нарушений антимонопольного законодательства не установлено. </w:t>
      </w:r>
    </w:p>
    <w:p w:rsidR="0024591E" w:rsidRPr="0024591E" w:rsidRDefault="00430BC7" w:rsidP="0024591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91E">
        <w:rPr>
          <w:rFonts w:ascii="PT Astra Serif" w:hAnsi="PT Astra Serif"/>
          <w:sz w:val="24"/>
          <w:szCs w:val="24"/>
        </w:rPr>
        <w:t xml:space="preserve">2.2. </w:t>
      </w:r>
      <w:r w:rsidR="0024591E" w:rsidRPr="0024591E">
        <w:rPr>
          <w:rFonts w:ascii="Times New Roman" w:hAnsi="Times New Roman"/>
          <w:sz w:val="24"/>
          <w:szCs w:val="24"/>
        </w:rPr>
        <w:t xml:space="preserve">Проведен анализ </w:t>
      </w:r>
      <w:r w:rsidR="0024591E">
        <w:rPr>
          <w:rFonts w:ascii="Times New Roman" w:hAnsi="Times New Roman"/>
          <w:sz w:val="24"/>
          <w:szCs w:val="24"/>
        </w:rPr>
        <w:t>нормативных правовых актов, принятых Администрацией на</w:t>
      </w:r>
      <w:r w:rsidR="0024591E" w:rsidRPr="0024591E">
        <w:rPr>
          <w:rFonts w:ascii="Times New Roman" w:hAnsi="Times New Roman"/>
          <w:sz w:val="24"/>
          <w:szCs w:val="24"/>
        </w:rPr>
        <w:t xml:space="preserve"> налич</w:t>
      </w:r>
      <w:r w:rsidR="0024591E">
        <w:rPr>
          <w:rFonts w:ascii="Times New Roman" w:hAnsi="Times New Roman"/>
          <w:sz w:val="24"/>
          <w:szCs w:val="24"/>
        </w:rPr>
        <w:t>ие</w:t>
      </w:r>
      <w:r w:rsidR="0024591E" w:rsidRPr="0024591E">
        <w:rPr>
          <w:rFonts w:ascii="Times New Roman" w:hAnsi="Times New Roman"/>
          <w:sz w:val="24"/>
          <w:szCs w:val="24"/>
        </w:rPr>
        <w:t xml:space="preserve"> </w:t>
      </w:r>
      <w:r w:rsidR="0024591E">
        <w:rPr>
          <w:rFonts w:ascii="Times New Roman" w:hAnsi="Times New Roman"/>
          <w:sz w:val="24"/>
          <w:szCs w:val="24"/>
        </w:rPr>
        <w:t>нарушений</w:t>
      </w:r>
      <w:r w:rsidR="0024591E" w:rsidRPr="0024591E">
        <w:rPr>
          <w:rFonts w:ascii="Times New Roman" w:hAnsi="Times New Roman"/>
          <w:sz w:val="24"/>
          <w:szCs w:val="24"/>
        </w:rPr>
        <w:t xml:space="preserve"> антимонопольного  законодательства за 202</w:t>
      </w:r>
      <w:r w:rsidR="00E30AC1">
        <w:rPr>
          <w:rFonts w:ascii="Times New Roman" w:hAnsi="Times New Roman"/>
          <w:sz w:val="24"/>
          <w:szCs w:val="24"/>
        </w:rPr>
        <w:t>4</w:t>
      </w:r>
      <w:r w:rsidR="0024591E" w:rsidRPr="0024591E">
        <w:rPr>
          <w:rFonts w:ascii="Times New Roman" w:hAnsi="Times New Roman"/>
          <w:sz w:val="24"/>
          <w:szCs w:val="24"/>
        </w:rPr>
        <w:t xml:space="preserve"> год. За отчетный 202</w:t>
      </w:r>
      <w:r w:rsidR="00E30AC1">
        <w:rPr>
          <w:rFonts w:ascii="Times New Roman" w:hAnsi="Times New Roman"/>
          <w:sz w:val="24"/>
          <w:szCs w:val="24"/>
        </w:rPr>
        <w:t>4</w:t>
      </w:r>
      <w:r w:rsidR="0024591E" w:rsidRPr="0024591E">
        <w:rPr>
          <w:rFonts w:ascii="Times New Roman" w:hAnsi="Times New Roman"/>
          <w:sz w:val="24"/>
          <w:szCs w:val="24"/>
        </w:rPr>
        <w:t xml:space="preserve"> год  рисков нарушений антимонопольного законодательства не выявлено.</w:t>
      </w:r>
      <w:r w:rsidR="0024591E">
        <w:rPr>
          <w:rFonts w:ascii="Times New Roman" w:hAnsi="Times New Roman"/>
          <w:sz w:val="24"/>
          <w:szCs w:val="24"/>
        </w:rPr>
        <w:t xml:space="preserve"> Нормативные правовые акты размещены на официальном сайте Администрации (</w:t>
      </w:r>
      <w:r w:rsidR="00E30AC1" w:rsidRPr="00E30AC1">
        <w:rPr>
          <w:rFonts w:ascii="Times New Roman" w:hAnsi="Times New Roman"/>
          <w:sz w:val="24"/>
          <w:szCs w:val="24"/>
        </w:rPr>
        <w:t>https://zavodskoe-r69.gosweb.gosuslugi.ru/ofitsialno/antimonopolnyy-komplaens/</w:t>
      </w:r>
      <w:r w:rsidR="0024591E">
        <w:rPr>
          <w:rFonts w:ascii="Times New Roman" w:hAnsi="Times New Roman"/>
          <w:sz w:val="24"/>
          <w:szCs w:val="24"/>
        </w:rPr>
        <w:t>)</w:t>
      </w:r>
    </w:p>
    <w:p w:rsidR="0024591E" w:rsidRPr="0024591E" w:rsidRDefault="008A59C5" w:rsidP="0024591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91E">
        <w:rPr>
          <w:rFonts w:ascii="PT Astra Serif" w:hAnsi="PT Astra Serif"/>
          <w:sz w:val="24"/>
          <w:szCs w:val="24"/>
        </w:rPr>
        <w:t>2.3.</w:t>
      </w:r>
      <w:r w:rsidRPr="008A59C5">
        <w:rPr>
          <w:rFonts w:ascii="Arial" w:hAnsi="Arial" w:cs="Arial"/>
          <w:color w:val="262626"/>
          <w:shd w:val="clear" w:color="auto" w:fill="FFFFFF"/>
        </w:rPr>
        <w:t xml:space="preserve"> </w:t>
      </w:r>
      <w:r w:rsidR="0024591E" w:rsidRPr="0024591E">
        <w:rPr>
          <w:rFonts w:ascii="Times New Roman" w:hAnsi="Times New Roman"/>
          <w:sz w:val="24"/>
          <w:szCs w:val="24"/>
        </w:rPr>
        <w:t xml:space="preserve">Проведен анализ </w:t>
      </w:r>
      <w:r w:rsidR="0024591E">
        <w:rPr>
          <w:rFonts w:ascii="Times New Roman" w:hAnsi="Times New Roman"/>
          <w:sz w:val="24"/>
          <w:szCs w:val="24"/>
        </w:rPr>
        <w:t>проектов нормативных правовых актов, Администрации на</w:t>
      </w:r>
      <w:r w:rsidR="0024591E" w:rsidRPr="0024591E">
        <w:rPr>
          <w:rFonts w:ascii="Times New Roman" w:hAnsi="Times New Roman"/>
          <w:sz w:val="24"/>
          <w:szCs w:val="24"/>
        </w:rPr>
        <w:t xml:space="preserve"> налич</w:t>
      </w:r>
      <w:r w:rsidR="0024591E">
        <w:rPr>
          <w:rFonts w:ascii="Times New Roman" w:hAnsi="Times New Roman"/>
          <w:sz w:val="24"/>
          <w:szCs w:val="24"/>
        </w:rPr>
        <w:t>ие</w:t>
      </w:r>
      <w:r w:rsidR="0024591E" w:rsidRPr="0024591E">
        <w:rPr>
          <w:rFonts w:ascii="Times New Roman" w:hAnsi="Times New Roman"/>
          <w:sz w:val="24"/>
          <w:szCs w:val="24"/>
        </w:rPr>
        <w:t xml:space="preserve"> </w:t>
      </w:r>
      <w:r w:rsidR="0024591E">
        <w:rPr>
          <w:rFonts w:ascii="Times New Roman" w:hAnsi="Times New Roman"/>
          <w:sz w:val="24"/>
          <w:szCs w:val="24"/>
        </w:rPr>
        <w:t>нарушений</w:t>
      </w:r>
      <w:r w:rsidR="0024591E" w:rsidRPr="0024591E">
        <w:rPr>
          <w:rFonts w:ascii="Times New Roman" w:hAnsi="Times New Roman"/>
          <w:sz w:val="24"/>
          <w:szCs w:val="24"/>
        </w:rPr>
        <w:t xml:space="preserve"> антимонопольного  законодательства. </w:t>
      </w:r>
      <w:r w:rsidR="0024591E">
        <w:rPr>
          <w:rFonts w:ascii="Times New Roman" w:hAnsi="Times New Roman"/>
          <w:sz w:val="24"/>
          <w:szCs w:val="24"/>
        </w:rPr>
        <w:t>Р</w:t>
      </w:r>
      <w:r w:rsidR="0024591E" w:rsidRPr="0024591E">
        <w:rPr>
          <w:rFonts w:ascii="Times New Roman" w:hAnsi="Times New Roman"/>
          <w:sz w:val="24"/>
          <w:szCs w:val="24"/>
        </w:rPr>
        <w:t>исков нарушений антимонопольного законодательства не выявлено.</w:t>
      </w:r>
    </w:p>
    <w:p w:rsidR="0024591E" w:rsidRDefault="00D10B94" w:rsidP="0024591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91E">
        <w:rPr>
          <w:rFonts w:ascii="PT Astra Serif" w:hAnsi="PT Astra Serif"/>
          <w:bCs/>
          <w:sz w:val="24"/>
          <w:szCs w:val="24"/>
        </w:rPr>
        <w:t>2.4</w:t>
      </w:r>
      <w:r w:rsidR="00C255C1" w:rsidRPr="0024591E">
        <w:rPr>
          <w:rFonts w:ascii="PT Astra Serif" w:hAnsi="PT Astra Serif"/>
          <w:bCs/>
          <w:sz w:val="24"/>
          <w:szCs w:val="24"/>
        </w:rPr>
        <w:t>.</w:t>
      </w:r>
      <w:r w:rsidR="00C255C1">
        <w:rPr>
          <w:rFonts w:ascii="PT Astra Serif" w:hAnsi="PT Astra Serif"/>
          <w:bCs/>
          <w:i/>
          <w:sz w:val="28"/>
          <w:szCs w:val="28"/>
        </w:rPr>
        <w:t xml:space="preserve"> </w:t>
      </w:r>
      <w:r w:rsidR="0024591E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="0024591E">
        <w:rPr>
          <w:rFonts w:ascii="Times New Roman" w:hAnsi="Times New Roman"/>
          <w:sz w:val="24"/>
          <w:szCs w:val="24"/>
        </w:rPr>
        <w:t>недопущения возникновения рисков нарушения антимонопольного законодательства</w:t>
      </w:r>
      <w:proofErr w:type="gramEnd"/>
      <w:r w:rsidR="0024591E">
        <w:rPr>
          <w:rFonts w:ascii="Times New Roman" w:hAnsi="Times New Roman"/>
          <w:sz w:val="24"/>
          <w:szCs w:val="24"/>
        </w:rPr>
        <w:t xml:space="preserve"> в Администрации внедрена система внутреннего обеспечения соответствия требованиям антимонопольного законодательства (распоряжение Администрации Парабельского района № 85а), в соответствии с которой:</w:t>
      </w:r>
    </w:p>
    <w:p w:rsidR="0024591E" w:rsidRDefault="0024591E" w:rsidP="0024591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 организовано проведение разъяснительной работы с муниципальными служащими по вопросам, связанным с соблюдением антимонопольного законодательства и антимонопольным </w:t>
      </w:r>
      <w:proofErr w:type="spellStart"/>
      <w:r>
        <w:rPr>
          <w:rFonts w:ascii="Times New Roman" w:hAnsi="Times New Roman"/>
          <w:sz w:val="24"/>
          <w:szCs w:val="24"/>
        </w:rPr>
        <w:t>комплаенсом</w:t>
      </w:r>
      <w:proofErr w:type="spellEnd"/>
      <w:r>
        <w:rPr>
          <w:rFonts w:ascii="Times New Roman" w:hAnsi="Times New Roman"/>
          <w:sz w:val="24"/>
          <w:szCs w:val="24"/>
        </w:rPr>
        <w:t xml:space="preserve">, подготовкой информации о функционировании антимонопольного </w:t>
      </w:r>
      <w:proofErr w:type="spellStart"/>
      <w:r>
        <w:rPr>
          <w:rFonts w:ascii="Times New Roman" w:hAnsi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/>
          <w:sz w:val="24"/>
          <w:szCs w:val="24"/>
        </w:rPr>
        <w:t xml:space="preserve"> в структурных подразделениях Администрации;</w:t>
      </w:r>
      <w:proofErr w:type="gramEnd"/>
    </w:p>
    <w:p w:rsidR="0024591E" w:rsidRDefault="0024591E" w:rsidP="0024591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проводится анализ сведений о наличии/отсутствии нарушения антимонопольного законодательства;</w:t>
      </w:r>
    </w:p>
    <w:p w:rsidR="0024591E" w:rsidRDefault="0024591E" w:rsidP="0024591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осуществляется организация обучения муниципальных служащих Администрации требованиям антимонопольного законодательства. </w:t>
      </w:r>
    </w:p>
    <w:p w:rsidR="0024591E" w:rsidRDefault="0024591E" w:rsidP="0024591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при проведении аттестации муниципальных служащих осуществляется проверка на знание норм антимонопольного законодательства;</w:t>
      </w:r>
    </w:p>
    <w:p w:rsidR="0024591E" w:rsidRDefault="0024591E" w:rsidP="0024591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осуществляется ознакомление муниципальных служащих с Положением об </w:t>
      </w:r>
      <w:proofErr w:type="gramStart"/>
      <w:r>
        <w:rPr>
          <w:rFonts w:ascii="Times New Roman" w:hAnsi="Times New Roman"/>
          <w:sz w:val="24"/>
          <w:szCs w:val="24"/>
        </w:rPr>
        <w:t>антимонопольном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комплаенсе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4591E" w:rsidRDefault="00E30AC1" w:rsidP="0024591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24591E">
        <w:rPr>
          <w:rFonts w:ascii="Times New Roman" w:hAnsi="Times New Roman"/>
          <w:sz w:val="24"/>
          <w:szCs w:val="24"/>
        </w:rPr>
        <w:t xml:space="preserve"> году в деятельности муниципальных служащих Администрации конфликты интересов в части нарушения антимонопольного законодательства не выявлены.</w:t>
      </w:r>
    </w:p>
    <w:p w:rsidR="0024591E" w:rsidRDefault="0024591E" w:rsidP="0024591E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постоянной основе осуществляется анализ разработанных проектов нормативных правовых актов в целях выявления рисков нарушения антимонопольного законодательства.</w:t>
      </w:r>
    </w:p>
    <w:p w:rsidR="00DE36C9" w:rsidRPr="0024591E" w:rsidRDefault="00DE36C9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24591E">
        <w:rPr>
          <w:rFonts w:ascii="PT Astra Serif" w:hAnsi="PT Astra Serif"/>
          <w:bCs/>
          <w:sz w:val="24"/>
          <w:szCs w:val="24"/>
        </w:rPr>
        <w:t>4. Выводы:</w:t>
      </w:r>
    </w:p>
    <w:p w:rsidR="0024591E" w:rsidRPr="00D67D9F" w:rsidRDefault="0024591E" w:rsidP="00D67D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D9F">
        <w:rPr>
          <w:rFonts w:ascii="Times New Roman" w:hAnsi="Times New Roman"/>
          <w:sz w:val="24"/>
          <w:szCs w:val="24"/>
        </w:rPr>
        <w:t xml:space="preserve">- </w:t>
      </w:r>
      <w:r w:rsidRPr="00D67D9F">
        <w:rPr>
          <w:rFonts w:ascii="Times New Roman" w:eastAsia="Calibri" w:hAnsi="Times New Roman" w:cs="Times New Roman"/>
          <w:sz w:val="24"/>
          <w:szCs w:val="24"/>
        </w:rPr>
        <w:t xml:space="preserve">Разработаны нормативные акты, которые размещены на официальном сайте Администрации, </w:t>
      </w:r>
      <w:r w:rsidR="00E30AC1" w:rsidRPr="00E30AC1">
        <w:rPr>
          <w:rFonts w:ascii="Times New Roman" w:eastAsia="Calibri" w:hAnsi="Times New Roman" w:cs="Times New Roman"/>
          <w:sz w:val="24"/>
          <w:szCs w:val="24"/>
        </w:rPr>
        <w:t>https://zavodskoe-r69.gosweb.gosuslugi.ru/ofitsialno/antimonopolnyy-komplaens/</w:t>
      </w:r>
      <w:r w:rsidRPr="00D67D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591E" w:rsidRDefault="00D67D9F" w:rsidP="00D67D9F">
      <w:pPr>
        <w:pStyle w:val="af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4591E">
        <w:rPr>
          <w:rFonts w:ascii="Times New Roman" w:hAnsi="Times New Roman"/>
          <w:sz w:val="24"/>
          <w:szCs w:val="24"/>
        </w:rPr>
        <w:t xml:space="preserve">Комиссионным органом проведена оценка  эффективности функционирования антимонопольного </w:t>
      </w:r>
      <w:proofErr w:type="spellStart"/>
      <w:r w:rsidR="0024591E">
        <w:rPr>
          <w:rFonts w:ascii="Times New Roman" w:hAnsi="Times New Roman"/>
          <w:sz w:val="24"/>
          <w:szCs w:val="24"/>
        </w:rPr>
        <w:t>комплаенса</w:t>
      </w:r>
      <w:proofErr w:type="spellEnd"/>
      <w:r w:rsidR="0024591E">
        <w:rPr>
          <w:rFonts w:ascii="Times New Roman" w:hAnsi="Times New Roman"/>
          <w:sz w:val="24"/>
          <w:szCs w:val="24"/>
        </w:rPr>
        <w:t xml:space="preserve"> в Администрации в 202</w:t>
      </w:r>
      <w:r w:rsidR="00E30AC1">
        <w:rPr>
          <w:rFonts w:ascii="Times New Roman" w:hAnsi="Times New Roman"/>
          <w:sz w:val="24"/>
          <w:szCs w:val="24"/>
        </w:rPr>
        <w:t>4</w:t>
      </w:r>
      <w:r w:rsidR="0024591E">
        <w:rPr>
          <w:rFonts w:ascii="Times New Roman" w:hAnsi="Times New Roman"/>
          <w:sz w:val="24"/>
          <w:szCs w:val="24"/>
        </w:rPr>
        <w:t xml:space="preserve"> году.</w:t>
      </w:r>
    </w:p>
    <w:p w:rsidR="0024591E" w:rsidRPr="00D67D9F" w:rsidRDefault="00D67D9F" w:rsidP="00D67D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591E" w:rsidRPr="00D67D9F">
        <w:rPr>
          <w:rFonts w:ascii="Times New Roman" w:eastAsia="Calibri" w:hAnsi="Times New Roman" w:cs="Times New Roman"/>
          <w:sz w:val="24"/>
          <w:szCs w:val="24"/>
        </w:rPr>
        <w:t>По результатам проделанной работы нарушений антимонопольного законодательства в деятельности Администрации не выявлено.</w:t>
      </w: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67D9F" w:rsidRDefault="00D67D9F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62F04" w:rsidRPr="004A18ED" w:rsidRDefault="00F62F04" w:rsidP="00A84ED5">
      <w:pPr>
        <w:shd w:val="clear" w:color="auto" w:fill="FFFFFF"/>
        <w:spacing w:after="360" w:afterAutospacing="1" w:line="240" w:lineRule="auto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10B94" w:rsidRDefault="00D10B94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10B94" w:rsidRPr="00D10B94" w:rsidRDefault="00D10B94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0B94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№ </w:t>
      </w:r>
      <w:r w:rsidR="00F454A8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</w:p>
    <w:p w:rsidR="00F62F04" w:rsidRPr="00F62F04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Оценка эффективности функционирования антимонопольного </w:t>
      </w:r>
      <w:proofErr w:type="spellStart"/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>комплаенса</w:t>
      </w:r>
      <w:proofErr w:type="spellEnd"/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 в </w:t>
      </w:r>
      <w:r w:rsidR="00D67D9F">
        <w:rPr>
          <w:rFonts w:ascii="PT Astra Serif" w:eastAsia="Times New Roman" w:hAnsi="PT Astra Serif" w:cs="Times New Roman"/>
          <w:b/>
          <w:i/>
          <w:sz w:val="26"/>
          <w:szCs w:val="20"/>
          <w:u w:val="single"/>
          <w:lang w:eastAsia="ru-RU"/>
        </w:rPr>
        <w:t>Администрации Заводского сельского поселения</w:t>
      </w:r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 </w:t>
      </w:r>
    </w:p>
    <w:p w:rsidR="00F62F04" w:rsidRPr="00F62F04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tbl>
      <w:tblPr>
        <w:tblStyle w:val="2"/>
        <w:tblW w:w="10422" w:type="dxa"/>
        <w:tblLook w:val="04A0"/>
      </w:tblPr>
      <w:tblGrid>
        <w:gridCol w:w="642"/>
        <w:gridCol w:w="5807"/>
        <w:gridCol w:w="1233"/>
        <w:gridCol w:w="1440"/>
        <w:gridCol w:w="1300"/>
      </w:tblGrid>
      <w:tr w:rsidR="00F62F04" w:rsidRPr="00F62F04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Результат в баллах</w:t>
            </w:r>
          </w:p>
        </w:tc>
      </w:tr>
      <w:tr w:rsidR="00F62F04" w:rsidRPr="00F62F04" w:rsidTr="00F62F04">
        <w:trPr>
          <w:trHeight w:val="391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1A712E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по сравнению с предыдущим годом</w:t>
            </w:r>
            <w:r w:rsidRPr="00F62F04">
              <w:rPr>
                <w:rFonts w:ascii="PT Astra Serif" w:hAnsi="PT Astra Serif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E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390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62F04" w:rsidRPr="00F62F04" w:rsidRDefault="00D67D9F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:rsidTr="00F62F04">
        <w:trPr>
          <w:trHeight w:val="386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575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>Доля проектов нормативных правовых актов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399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D67D9F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:rsidTr="00F62F04">
        <w:trPr>
          <w:trHeight w:val="433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>Доля нормативных правовых актов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399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D67D9F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:rsidTr="00F62F04">
        <w:trPr>
          <w:trHeight w:val="413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D67D9F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:rsidTr="00F62F04">
        <w:trPr>
          <w:trHeight w:val="353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557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 xml:space="preserve">Доля работников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комплаенсу</w:t>
            </w:r>
            <w:proofErr w:type="spellEnd"/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D67D9F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:rsidTr="00F62F04">
        <w:trPr>
          <w:trHeight w:val="565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</w:tbl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Период, за который производится оценка, </w:t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sym w:font="Symbol" w:char="F02D"/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календарный год.</w:t>
      </w: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Расчет значения итогового показателя производится путем суммирования баллов: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высокая эффективность – от 80 до 100 баллов;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средняя эффективность – от 60 до 79 баллов;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низкая эффективность – от 20 до 59 баллов;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неэффективно – ниже 19 баллов.</w:t>
      </w:r>
    </w:p>
    <w:p w:rsidR="00F0015E" w:rsidRPr="00F62F04" w:rsidRDefault="00F0015E" w:rsidP="0059119A">
      <w:pPr>
        <w:spacing w:after="0"/>
        <w:rPr>
          <w:rFonts w:ascii="PT Astra Serif" w:hAnsi="PT Astra Serif"/>
          <w:i/>
          <w:vanish/>
          <w:sz w:val="28"/>
          <w:szCs w:val="28"/>
        </w:rPr>
      </w:pPr>
      <w:bookmarkStart w:id="0" w:name="_GoBack"/>
      <w:bookmarkEnd w:id="0"/>
    </w:p>
    <w:sectPr w:rsidR="00F0015E" w:rsidRPr="00F62F04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AC" w:rsidRDefault="00607BAC" w:rsidP="007D3ACF">
      <w:pPr>
        <w:spacing w:after="0" w:line="240" w:lineRule="auto"/>
      </w:pPr>
      <w:r>
        <w:separator/>
      </w:r>
    </w:p>
  </w:endnote>
  <w:endnote w:type="continuationSeparator" w:id="0">
    <w:p w:rsidR="00607BAC" w:rsidRDefault="00607BAC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AC" w:rsidRDefault="00607BAC" w:rsidP="007D3ACF">
      <w:pPr>
        <w:spacing w:after="0" w:line="240" w:lineRule="auto"/>
      </w:pPr>
      <w:r>
        <w:separator/>
      </w:r>
    </w:p>
  </w:footnote>
  <w:footnote w:type="continuationSeparator" w:id="0">
    <w:p w:rsidR="00607BAC" w:rsidRDefault="00607BAC" w:rsidP="007D3ACF">
      <w:pPr>
        <w:spacing w:after="0" w:line="240" w:lineRule="auto"/>
      </w:pPr>
      <w:r>
        <w:continuationSeparator/>
      </w:r>
    </w:p>
  </w:footnote>
  <w:footnote w:id="1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7E6B68"/>
    <w:multiLevelType w:val="hybridMultilevel"/>
    <w:tmpl w:val="907C5C40"/>
    <w:lvl w:ilvl="0" w:tplc="48147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401C7"/>
    <w:multiLevelType w:val="hybridMultilevel"/>
    <w:tmpl w:val="361C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41D1D"/>
    <w:multiLevelType w:val="hybridMultilevel"/>
    <w:tmpl w:val="D268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BC7"/>
    <w:rsid w:val="00006546"/>
    <w:rsid w:val="0006560E"/>
    <w:rsid w:val="000C1907"/>
    <w:rsid w:val="000F1F1A"/>
    <w:rsid w:val="001A712E"/>
    <w:rsid w:val="00232640"/>
    <w:rsid w:val="0024591E"/>
    <w:rsid w:val="00264208"/>
    <w:rsid w:val="00296A6D"/>
    <w:rsid w:val="003B740A"/>
    <w:rsid w:val="003D2485"/>
    <w:rsid w:val="003E217C"/>
    <w:rsid w:val="003E2BFE"/>
    <w:rsid w:val="00430BC7"/>
    <w:rsid w:val="00442798"/>
    <w:rsid w:val="004A18ED"/>
    <w:rsid w:val="004D2967"/>
    <w:rsid w:val="004F0A0D"/>
    <w:rsid w:val="0053283E"/>
    <w:rsid w:val="00535D13"/>
    <w:rsid w:val="0059119A"/>
    <w:rsid w:val="00595B31"/>
    <w:rsid w:val="005C200C"/>
    <w:rsid w:val="005F29F9"/>
    <w:rsid w:val="00607BAC"/>
    <w:rsid w:val="006121F9"/>
    <w:rsid w:val="006144D6"/>
    <w:rsid w:val="00623CE9"/>
    <w:rsid w:val="00673D7C"/>
    <w:rsid w:val="006D0BE5"/>
    <w:rsid w:val="00735BD9"/>
    <w:rsid w:val="00775A7E"/>
    <w:rsid w:val="00792589"/>
    <w:rsid w:val="00795CD6"/>
    <w:rsid w:val="007A6DE9"/>
    <w:rsid w:val="007B57C6"/>
    <w:rsid w:val="007D3ACF"/>
    <w:rsid w:val="007D6E4E"/>
    <w:rsid w:val="00813CD9"/>
    <w:rsid w:val="0081526B"/>
    <w:rsid w:val="008A59C5"/>
    <w:rsid w:val="008A64AA"/>
    <w:rsid w:val="008D06FB"/>
    <w:rsid w:val="008D33C8"/>
    <w:rsid w:val="00A037EB"/>
    <w:rsid w:val="00A228AA"/>
    <w:rsid w:val="00A2428C"/>
    <w:rsid w:val="00A84ED5"/>
    <w:rsid w:val="00AA56EA"/>
    <w:rsid w:val="00AD5BDC"/>
    <w:rsid w:val="00AE59CE"/>
    <w:rsid w:val="00B26B48"/>
    <w:rsid w:val="00B33DB0"/>
    <w:rsid w:val="00B5766D"/>
    <w:rsid w:val="00B63533"/>
    <w:rsid w:val="00C255C1"/>
    <w:rsid w:val="00C90CEB"/>
    <w:rsid w:val="00CC0FFA"/>
    <w:rsid w:val="00CD099A"/>
    <w:rsid w:val="00D10B94"/>
    <w:rsid w:val="00D6322F"/>
    <w:rsid w:val="00D67D9F"/>
    <w:rsid w:val="00D769EB"/>
    <w:rsid w:val="00DB1EE4"/>
    <w:rsid w:val="00DE36C9"/>
    <w:rsid w:val="00E0424C"/>
    <w:rsid w:val="00E30561"/>
    <w:rsid w:val="00E30AC1"/>
    <w:rsid w:val="00E56C08"/>
    <w:rsid w:val="00E6123B"/>
    <w:rsid w:val="00EA0D7B"/>
    <w:rsid w:val="00F0015E"/>
    <w:rsid w:val="00F11747"/>
    <w:rsid w:val="00F32D1E"/>
    <w:rsid w:val="00F454A8"/>
    <w:rsid w:val="00F62F04"/>
    <w:rsid w:val="00F75B98"/>
    <w:rsid w:val="00FD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paragraph" w:styleId="af3">
    <w:name w:val="List Paragraph"/>
    <w:basedOn w:val="a"/>
    <w:uiPriority w:val="34"/>
    <w:qFormat/>
    <w:rsid w:val="007B57C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CC37-77F0-4F6C-83BF-EED034EC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Admin</cp:lastModifiedBy>
  <cp:revision>2</cp:revision>
  <cp:lastPrinted>2023-01-23T09:46:00Z</cp:lastPrinted>
  <dcterms:created xsi:type="dcterms:W3CDTF">2025-01-17T08:21:00Z</dcterms:created>
  <dcterms:modified xsi:type="dcterms:W3CDTF">2025-01-17T08:21:00Z</dcterms:modified>
</cp:coreProperties>
</file>